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F38C2" w14:textId="77777777" w:rsidR="00CF3954" w:rsidRPr="00CF3954" w:rsidRDefault="00CF3954" w:rsidP="00CF3954">
      <w:pPr>
        <w:pStyle w:val="Heading1"/>
        <w:jc w:val="center"/>
        <w:rPr>
          <w:sz w:val="18"/>
          <w:u w:val="single"/>
        </w:rPr>
      </w:pPr>
    </w:p>
    <w:p w14:paraId="2A9C806E" w14:textId="74977293" w:rsidR="00CF3954" w:rsidRPr="005F7B47" w:rsidRDefault="00316019" w:rsidP="00CF3954">
      <w:pPr>
        <w:pStyle w:val="Heading1"/>
        <w:jc w:val="center"/>
        <w:rPr>
          <w:sz w:val="28"/>
          <w:u w:val="single"/>
        </w:rPr>
      </w:pPr>
      <w:r>
        <w:rPr>
          <w:sz w:val="28"/>
          <w:u w:val="single"/>
        </w:rPr>
        <w:t>BWSR</w:t>
      </w:r>
      <w:r w:rsidR="00CF3954">
        <w:rPr>
          <w:sz w:val="28"/>
          <w:u w:val="single"/>
        </w:rPr>
        <w:t xml:space="preserve"> </w:t>
      </w:r>
      <w:r w:rsidR="00CF3954" w:rsidRPr="005F7B47">
        <w:rPr>
          <w:sz w:val="28"/>
          <w:u w:val="single"/>
        </w:rPr>
        <w:t>U</w:t>
      </w:r>
      <w:r w:rsidR="00CF3954">
        <w:rPr>
          <w:sz w:val="28"/>
          <w:u w:val="single"/>
        </w:rPr>
        <w:t>pdate –</w:t>
      </w:r>
      <w:r w:rsidR="00CF3954" w:rsidRPr="005F7B47">
        <w:rPr>
          <w:sz w:val="28"/>
          <w:u w:val="single"/>
        </w:rPr>
        <w:t xml:space="preserve"> </w:t>
      </w:r>
      <w:r w:rsidR="00A83CB0">
        <w:rPr>
          <w:sz w:val="28"/>
          <w:u w:val="single"/>
        </w:rPr>
        <w:t>March</w:t>
      </w:r>
      <w:r w:rsidR="00CF3954" w:rsidRPr="005F7B47">
        <w:rPr>
          <w:sz w:val="28"/>
          <w:u w:val="single"/>
        </w:rPr>
        <w:t xml:space="preserve"> 20</w:t>
      </w:r>
      <w:r w:rsidR="00D2436A">
        <w:rPr>
          <w:sz w:val="28"/>
          <w:u w:val="single"/>
        </w:rPr>
        <w:t>2</w:t>
      </w:r>
      <w:r w:rsidR="004F1C6A">
        <w:rPr>
          <w:sz w:val="28"/>
          <w:u w:val="single"/>
        </w:rPr>
        <w:t>1</w:t>
      </w:r>
    </w:p>
    <w:p w14:paraId="50F7B308" w14:textId="25BA4D3F" w:rsidR="00CF3954" w:rsidRPr="00E07907" w:rsidRDefault="00CF3954" w:rsidP="00CF3954">
      <w:pPr>
        <w:rPr>
          <w:rStyle w:val="BodyTextChar"/>
        </w:rPr>
      </w:pPr>
      <w:r w:rsidRPr="00E07907">
        <w:rPr>
          <w:rStyle w:val="Heading3Char"/>
        </w:rPr>
        <w:t>Board Meeting</w:t>
      </w:r>
      <w:r>
        <w:rPr>
          <w:rStyle w:val="Heading3Char"/>
        </w:rPr>
        <w:t>.</w:t>
      </w:r>
      <w:r w:rsidRPr="00567933">
        <w:rPr>
          <w:rStyle w:val="BodyTextChar"/>
          <w:rFonts w:eastAsiaTheme="majorEastAsia"/>
        </w:rPr>
        <w:t xml:space="preserve"> </w:t>
      </w:r>
      <w:r w:rsidR="009B5E51">
        <w:rPr>
          <w:rStyle w:val="BodyTextChar"/>
        </w:rPr>
        <w:t>T</w:t>
      </w:r>
      <w:r>
        <w:rPr>
          <w:rStyle w:val="BodyTextChar"/>
        </w:rPr>
        <w:t>he next meeting is scheduled for</w:t>
      </w:r>
      <w:r w:rsidR="00432301">
        <w:rPr>
          <w:rStyle w:val="BodyTextChar"/>
        </w:rPr>
        <w:t xml:space="preserve"> </w:t>
      </w:r>
      <w:r w:rsidR="00053C37">
        <w:rPr>
          <w:rStyle w:val="BodyTextChar"/>
        </w:rPr>
        <w:t>March</w:t>
      </w:r>
      <w:r w:rsidR="004F1C6A">
        <w:rPr>
          <w:rStyle w:val="BodyTextChar"/>
        </w:rPr>
        <w:t xml:space="preserve"> </w:t>
      </w:r>
      <w:r w:rsidR="00A42A90">
        <w:rPr>
          <w:rStyle w:val="BodyTextChar"/>
        </w:rPr>
        <w:t>2</w:t>
      </w:r>
      <w:r w:rsidR="00053C37">
        <w:rPr>
          <w:rStyle w:val="BodyTextChar"/>
        </w:rPr>
        <w:t>4th</w:t>
      </w:r>
      <w:r>
        <w:rPr>
          <w:rStyle w:val="BodyTextChar"/>
        </w:rPr>
        <w:t>.  B</w:t>
      </w:r>
      <w:r w:rsidRPr="00E07907">
        <w:rPr>
          <w:rStyle w:val="BodyTextChar"/>
        </w:rPr>
        <w:t xml:space="preserve">oard </w:t>
      </w:r>
      <w:r>
        <w:rPr>
          <w:rStyle w:val="BodyTextChar"/>
        </w:rPr>
        <w:t>meeting information is available at</w:t>
      </w:r>
      <w:r w:rsidRPr="00E07907">
        <w:rPr>
          <w:rStyle w:val="BodyTextChar"/>
        </w:rPr>
        <w:t>:</w:t>
      </w:r>
      <w:r>
        <w:rPr>
          <w:rStyle w:val="BodyTextChar"/>
        </w:rPr>
        <w:t xml:space="preserve"> </w:t>
      </w:r>
      <w:hyperlink r:id="rId8" w:history="1">
        <w:r w:rsidR="007A13EF" w:rsidRPr="007A13EF">
          <w:rPr>
            <w:color w:val="0000FF"/>
            <w:u w:val="single"/>
          </w:rPr>
          <w:t>https://www.bwsr.state.mn.us/board-meeting-information</w:t>
        </w:r>
      </w:hyperlink>
    </w:p>
    <w:p w14:paraId="499C2727" w14:textId="49AF7D80" w:rsidR="00CF3954" w:rsidRPr="00AD3F1A" w:rsidRDefault="00CF3954" w:rsidP="00CF3954">
      <w:pPr>
        <w:pStyle w:val="Heading3"/>
        <w:rPr>
          <w:rStyle w:val="BodyTextChar"/>
          <w:b w:val="0"/>
        </w:rPr>
      </w:pPr>
      <w:r>
        <w:t xml:space="preserve">Staff Updates. </w:t>
      </w:r>
      <w:r w:rsidRPr="00974655">
        <w:rPr>
          <w:rStyle w:val="BodyTextChar"/>
          <w:b w:val="0"/>
          <w:color w:val="auto"/>
        </w:rPr>
        <w:t xml:space="preserve">All staff </w:t>
      </w:r>
      <w:r w:rsidR="00AF4F76">
        <w:rPr>
          <w:rStyle w:val="BodyTextChar"/>
          <w:b w:val="0"/>
          <w:color w:val="auto"/>
        </w:rPr>
        <w:t>continue to</w:t>
      </w:r>
      <w:r w:rsidR="00432683">
        <w:rPr>
          <w:rStyle w:val="BodyTextChar"/>
          <w:b w:val="0"/>
          <w:color w:val="auto"/>
        </w:rPr>
        <w:t xml:space="preserve"> </w:t>
      </w:r>
      <w:r w:rsidR="00D2436A">
        <w:rPr>
          <w:rStyle w:val="BodyTextChar"/>
          <w:b w:val="0"/>
          <w:color w:val="auto"/>
        </w:rPr>
        <w:t xml:space="preserve">work from home offices </w:t>
      </w:r>
      <w:r w:rsidR="00AF4F76">
        <w:rPr>
          <w:rStyle w:val="BodyTextChar"/>
          <w:b w:val="0"/>
          <w:color w:val="auto"/>
        </w:rPr>
        <w:t xml:space="preserve">and expect </w:t>
      </w:r>
      <w:r w:rsidR="00392F35">
        <w:rPr>
          <w:rStyle w:val="BodyTextChar"/>
          <w:b w:val="0"/>
          <w:color w:val="auto"/>
        </w:rPr>
        <w:t xml:space="preserve">this </w:t>
      </w:r>
      <w:r w:rsidR="00AF4F76">
        <w:rPr>
          <w:rStyle w:val="BodyTextChar"/>
          <w:b w:val="0"/>
          <w:color w:val="auto"/>
        </w:rPr>
        <w:t xml:space="preserve">to continue through at least </w:t>
      </w:r>
      <w:r w:rsidR="009A52DF">
        <w:rPr>
          <w:rStyle w:val="BodyTextChar"/>
          <w:b w:val="0"/>
          <w:color w:val="auto"/>
        </w:rPr>
        <w:t>06</w:t>
      </w:r>
      <w:r w:rsidR="00AF4F76">
        <w:rPr>
          <w:rStyle w:val="BodyTextChar"/>
          <w:b w:val="0"/>
          <w:color w:val="auto"/>
        </w:rPr>
        <w:t>/31/202</w:t>
      </w:r>
      <w:r w:rsidR="009A52DF">
        <w:rPr>
          <w:rStyle w:val="BodyTextChar"/>
          <w:b w:val="0"/>
          <w:color w:val="auto"/>
        </w:rPr>
        <w:t>1</w:t>
      </w:r>
      <w:r w:rsidR="00AF4F76">
        <w:rPr>
          <w:rStyle w:val="BodyTextChar"/>
          <w:b w:val="0"/>
          <w:color w:val="auto"/>
        </w:rPr>
        <w:t>.</w:t>
      </w:r>
      <w:r w:rsidR="00432683">
        <w:rPr>
          <w:rStyle w:val="BodyTextChar"/>
          <w:b w:val="0"/>
          <w:color w:val="auto"/>
        </w:rPr>
        <w:t xml:space="preserve">  Staff that work in the field have been doing some work-related travel.</w:t>
      </w:r>
      <w:r w:rsidR="00D2436A">
        <w:rPr>
          <w:rStyle w:val="BodyTextChar"/>
          <w:b w:val="0"/>
          <w:color w:val="auto"/>
        </w:rPr>
        <w:t xml:space="preserve"> </w:t>
      </w:r>
      <w:r w:rsidR="00D636D7">
        <w:rPr>
          <w:rStyle w:val="BodyTextChar"/>
          <w:b w:val="0"/>
          <w:color w:val="auto"/>
        </w:rPr>
        <w:t>Darren Mayers</w:t>
      </w:r>
      <w:r w:rsidR="00D73D5C">
        <w:rPr>
          <w:rStyle w:val="BodyTextChar"/>
          <w:b w:val="0"/>
          <w:color w:val="auto"/>
        </w:rPr>
        <w:t xml:space="preserve"> (Buffer Specialist)</w:t>
      </w:r>
      <w:r w:rsidR="00D636D7">
        <w:rPr>
          <w:rStyle w:val="BodyTextChar"/>
          <w:b w:val="0"/>
          <w:color w:val="auto"/>
        </w:rPr>
        <w:t xml:space="preserve"> is on temporary assignment to fill Brett Arne’s Board Conservationist position while Brett is on a </w:t>
      </w:r>
      <w:r w:rsidR="00D73D5C">
        <w:rPr>
          <w:rStyle w:val="BodyTextChar"/>
          <w:b w:val="0"/>
          <w:color w:val="auto"/>
        </w:rPr>
        <w:t>temporary assignment as BWSR’s PRAP Coordinator (temporary assignments filling positions that can’t be permanently filled due to hiring freeze).</w:t>
      </w:r>
    </w:p>
    <w:p w14:paraId="5D0A0337" w14:textId="06F84142" w:rsidR="00EE024D" w:rsidRDefault="00CF3954" w:rsidP="00CF3954">
      <w:pPr>
        <w:rPr>
          <w:rStyle w:val="Heading3Char"/>
          <w:rFonts w:ascii="Calibri" w:hAnsi="Calibri" w:cs="Times New Roman"/>
          <w:b w:val="0"/>
          <w:color w:val="auto"/>
          <w:sz w:val="22"/>
          <w:szCs w:val="22"/>
        </w:rPr>
      </w:pPr>
      <w:r>
        <w:rPr>
          <w:rStyle w:val="Heading3Char"/>
        </w:rPr>
        <w:t>C</w:t>
      </w:r>
      <w:r w:rsidRPr="00B3476A">
        <w:rPr>
          <w:rStyle w:val="Heading3Char"/>
        </w:rPr>
        <w:t>lean Water Fund</w:t>
      </w:r>
      <w:r w:rsidR="006610D7">
        <w:rPr>
          <w:rStyle w:val="Heading3Char"/>
        </w:rPr>
        <w:t xml:space="preserve"> Grants</w:t>
      </w:r>
      <w:r w:rsidRPr="00B3476A">
        <w:rPr>
          <w:rStyle w:val="Heading3Char"/>
        </w:rPr>
        <w:t>.</w:t>
      </w:r>
      <w:r>
        <w:rPr>
          <w:rStyle w:val="Heading3Char"/>
        </w:rPr>
        <w:t xml:space="preserve"> </w:t>
      </w:r>
    </w:p>
    <w:p w14:paraId="720E3AA3" w14:textId="2033FF36" w:rsidR="00BF1909" w:rsidRDefault="00CF3954" w:rsidP="00D636D7">
      <w:pPr>
        <w:pStyle w:val="BodyText"/>
      </w:pPr>
      <w:r>
        <w:rPr>
          <w:rFonts w:eastAsiaTheme="majorEastAsia"/>
        </w:rPr>
        <w:t>The Quarter</w:t>
      </w:r>
      <w:r w:rsidRPr="00AE429F">
        <w:rPr>
          <w:rFonts w:eastAsiaTheme="majorEastAsia"/>
        </w:rPr>
        <w:t>l</w:t>
      </w:r>
      <w:r>
        <w:rPr>
          <w:rFonts w:eastAsiaTheme="majorEastAsia"/>
        </w:rPr>
        <w:t>y</w:t>
      </w:r>
      <w:r w:rsidRPr="00AE429F">
        <w:rPr>
          <w:rFonts w:eastAsiaTheme="majorEastAsia"/>
        </w:rPr>
        <w:t xml:space="preserve"> grants newsletter </w:t>
      </w:r>
      <w:r>
        <w:rPr>
          <w:rFonts w:eastAsiaTheme="majorEastAsia"/>
        </w:rPr>
        <w:t xml:space="preserve">is </w:t>
      </w:r>
      <w:r w:rsidRPr="00AE429F">
        <w:rPr>
          <w:rFonts w:eastAsiaTheme="majorEastAsia"/>
        </w:rPr>
        <w:t>available at</w:t>
      </w:r>
      <w:r w:rsidR="002533D0">
        <w:rPr>
          <w:rFonts w:eastAsiaTheme="majorEastAsia"/>
        </w:rPr>
        <w:t xml:space="preserve">: </w:t>
      </w:r>
      <w:hyperlink r:id="rId9" w:history="1">
        <w:r w:rsidR="002533D0" w:rsidRPr="00F31599">
          <w:rPr>
            <w:rStyle w:val="Hyperlink"/>
          </w:rPr>
          <w:t>https://bwsr.state.mn.us/grantsquarterly</w:t>
        </w:r>
      </w:hyperlink>
      <w:r w:rsidR="00BF1909">
        <w:rPr>
          <w:rStyle w:val="Hyperlink"/>
        </w:rPr>
        <w:t>.</w:t>
      </w:r>
      <w:r w:rsidR="002533D0">
        <w:t xml:space="preserve"> </w:t>
      </w:r>
      <w:r w:rsidR="00D73D5C">
        <w:t xml:space="preserve"> </w:t>
      </w:r>
      <w:r w:rsidR="00D636D7">
        <w:t>S</w:t>
      </w:r>
      <w:r w:rsidR="00BF1909">
        <w:t xml:space="preserve">uccessful applicants for 2021 clean water fund grants are </w:t>
      </w:r>
      <w:r w:rsidR="00D636D7">
        <w:t>developing work plans and preparing to sign grant agreements.</w:t>
      </w:r>
    </w:p>
    <w:p w14:paraId="3C537610" w14:textId="77777777" w:rsidR="00D636D7" w:rsidRPr="004220FF" w:rsidRDefault="00D636D7" w:rsidP="00D636D7">
      <w:pPr>
        <w:pStyle w:val="Heading3"/>
        <w:rPr>
          <w:lang w:bidi="ar-SA"/>
        </w:rPr>
      </w:pPr>
      <w:r w:rsidRPr="004220FF">
        <w:rPr>
          <w:b w:val="0"/>
          <w:bCs/>
          <w:i/>
          <w:iCs/>
          <w:noProof/>
        </w:rPr>
        <w:drawing>
          <wp:anchor distT="0" distB="0" distL="114300" distR="114300" simplePos="0" relativeHeight="251659264" behindDoc="0" locked="0" layoutInCell="1" allowOverlap="1" wp14:anchorId="372B7F6F" wp14:editId="72C3B65B">
            <wp:simplePos x="0" y="0"/>
            <wp:positionH relativeFrom="margin">
              <wp:posOffset>4845306</wp:posOffset>
            </wp:positionH>
            <wp:positionV relativeFrom="paragraph">
              <wp:posOffset>34650</wp:posOffset>
            </wp:positionV>
            <wp:extent cx="1641475" cy="22853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6001"/>
                    <a:stretch/>
                  </pic:blipFill>
                  <pic:spPr bwMode="auto">
                    <a:xfrm>
                      <a:off x="0" y="0"/>
                      <a:ext cx="1641475" cy="2285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20FF">
        <w:t xml:space="preserve">Local Government Road Wetland Replacement Program </w:t>
      </w:r>
      <w:r>
        <w:t>Opportunities</w:t>
      </w:r>
    </w:p>
    <w:p w14:paraId="68E51ACD" w14:textId="77777777" w:rsidR="00D636D7" w:rsidRPr="004220FF" w:rsidRDefault="00D636D7" w:rsidP="00D636D7">
      <w:pPr>
        <w:pStyle w:val="BodyText"/>
        <w:rPr>
          <w:lang w:bidi="ar-SA"/>
        </w:rPr>
        <w:sectPr w:rsidR="00D636D7" w:rsidRPr="004220FF" w:rsidSect="00EE024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152" w:bottom="720" w:left="1152" w:header="0" w:footer="504" w:gutter="0"/>
          <w:cols w:space="720"/>
          <w:titlePg/>
          <w:docGrid w:linePitch="326"/>
        </w:sectPr>
      </w:pPr>
    </w:p>
    <w:p w14:paraId="38422641" w14:textId="527EF6BA" w:rsidR="00D636D7" w:rsidRPr="0004521D" w:rsidRDefault="00D636D7" w:rsidP="00D636D7">
      <w:pPr>
        <w:rPr>
          <w:b/>
          <w:bCs/>
          <w:i/>
          <w:iCs/>
          <w:sz w:val="24"/>
          <w:szCs w:val="24"/>
        </w:rPr>
      </w:pPr>
      <w:r w:rsidRPr="004220FF">
        <w:rPr>
          <w:sz w:val="24"/>
          <w:szCs w:val="24"/>
        </w:rPr>
        <w:t xml:space="preserve">The Local Government Road Wetland Replacement Program (LGRWRP) was established to provide wetland mitigation for certain qualifying road reconstruction, repair and rehabilitation projects conducted by local road authorities (cities, townships, counties). BWSR provides wetland mitigation for wetland impacts incurred </w:t>
      </w:r>
      <w:r w:rsidR="00D73D5C" w:rsidRPr="004220FF">
        <w:rPr>
          <w:sz w:val="24"/>
          <w:szCs w:val="24"/>
        </w:rPr>
        <w:t>because of</w:t>
      </w:r>
      <w:r w:rsidRPr="004220FF">
        <w:rPr>
          <w:sz w:val="24"/>
          <w:szCs w:val="24"/>
        </w:rPr>
        <w:t xml:space="preserve"> a qualifying </w:t>
      </w:r>
      <w:r>
        <w:rPr>
          <w:sz w:val="24"/>
          <w:szCs w:val="24"/>
        </w:rPr>
        <w:t xml:space="preserve">road </w:t>
      </w:r>
      <w:r w:rsidRPr="004220FF">
        <w:rPr>
          <w:sz w:val="24"/>
          <w:szCs w:val="24"/>
        </w:rPr>
        <w:t xml:space="preserve">project.  </w:t>
      </w:r>
      <w:r w:rsidRPr="0004521D">
        <w:rPr>
          <w:b/>
          <w:bCs/>
          <w:i/>
          <w:iCs/>
          <w:sz w:val="24"/>
          <w:szCs w:val="24"/>
        </w:rPr>
        <w:t xml:space="preserve">Demand has exceeded supply of wetland mitigation credits and new project sites for wetland restoration (wetland banks) are needed.  </w:t>
      </w:r>
    </w:p>
    <w:p w14:paraId="29226029" w14:textId="77777777" w:rsidR="00D636D7" w:rsidRPr="004220FF" w:rsidRDefault="00D636D7" w:rsidP="00D636D7">
      <w:pPr>
        <w:rPr>
          <w:sz w:val="24"/>
          <w:szCs w:val="24"/>
        </w:rPr>
      </w:pPr>
      <w:r w:rsidRPr="004220FF">
        <w:rPr>
          <w:sz w:val="24"/>
          <w:szCs w:val="24"/>
        </w:rPr>
        <w:t xml:space="preserve">The legislature recently approved </w:t>
      </w:r>
      <w:r>
        <w:rPr>
          <w:sz w:val="24"/>
          <w:szCs w:val="24"/>
        </w:rPr>
        <w:t>substantial</w:t>
      </w:r>
      <w:r w:rsidRPr="004220FF">
        <w:rPr>
          <w:sz w:val="24"/>
          <w:szCs w:val="24"/>
        </w:rPr>
        <w:t xml:space="preserve"> funding to acquire wetland mitigation credits </w:t>
      </w:r>
      <w:r>
        <w:rPr>
          <w:sz w:val="24"/>
          <w:szCs w:val="24"/>
        </w:rPr>
        <w:t xml:space="preserve">for this program and an </w:t>
      </w:r>
      <w:r w:rsidRPr="004220FF">
        <w:rPr>
          <w:sz w:val="24"/>
          <w:szCs w:val="24"/>
        </w:rPr>
        <w:t xml:space="preserve">RFP </w:t>
      </w:r>
      <w:r>
        <w:rPr>
          <w:sz w:val="24"/>
          <w:szCs w:val="24"/>
        </w:rPr>
        <w:t>is expected in the next couple months</w:t>
      </w:r>
      <w:r w:rsidRPr="004220FF">
        <w:rPr>
          <w:sz w:val="24"/>
          <w:szCs w:val="24"/>
        </w:rPr>
        <w:t xml:space="preserve">.  </w:t>
      </w:r>
      <w:r w:rsidRPr="004220FF">
        <w:rPr>
          <w:b/>
          <w:bCs/>
          <w:i/>
          <w:iCs/>
          <w:sz w:val="24"/>
          <w:szCs w:val="24"/>
        </w:rPr>
        <w:t xml:space="preserve">The Upper Red River watershed (BSA 4) is a </w:t>
      </w:r>
      <w:r>
        <w:rPr>
          <w:b/>
          <w:bCs/>
          <w:i/>
          <w:iCs/>
          <w:sz w:val="24"/>
          <w:szCs w:val="24"/>
        </w:rPr>
        <w:t>high priority</w:t>
      </w:r>
      <w:r w:rsidRPr="004220FF">
        <w:rPr>
          <w:b/>
          <w:bCs/>
          <w:i/>
          <w:iCs/>
          <w:sz w:val="24"/>
          <w:szCs w:val="24"/>
        </w:rPr>
        <w:t xml:space="preserve"> area for </w:t>
      </w:r>
      <w:r>
        <w:rPr>
          <w:b/>
          <w:bCs/>
          <w:i/>
          <w:iCs/>
          <w:sz w:val="24"/>
          <w:szCs w:val="24"/>
        </w:rPr>
        <w:t xml:space="preserve">banking </w:t>
      </w:r>
      <w:r w:rsidRPr="004220FF">
        <w:rPr>
          <w:b/>
          <w:bCs/>
          <w:i/>
          <w:iCs/>
          <w:sz w:val="24"/>
          <w:szCs w:val="24"/>
        </w:rPr>
        <w:t>projects</w:t>
      </w:r>
      <w:r>
        <w:rPr>
          <w:b/>
          <w:bCs/>
          <w:i/>
          <w:iCs/>
          <w:sz w:val="24"/>
          <w:szCs w:val="24"/>
        </w:rPr>
        <w:t>.</w:t>
      </w:r>
      <w:r w:rsidRPr="004220FF">
        <w:rPr>
          <w:b/>
          <w:bCs/>
          <w:i/>
          <w:iCs/>
          <w:sz w:val="24"/>
          <w:szCs w:val="24"/>
        </w:rPr>
        <w:t xml:space="preserve"> BWSR is looking for potential project partners to link wetland restorations with ongoing or planned projects.  </w:t>
      </w:r>
      <w:r w:rsidRPr="004220FF">
        <w:rPr>
          <w:sz w:val="24"/>
          <w:szCs w:val="24"/>
        </w:rPr>
        <w:t xml:space="preserve">Potential projects would need to include areas where wetland restoration potential is high – the more potential, the more yield for credit, and the higher the area ranks for selection. </w:t>
      </w:r>
    </w:p>
    <w:p w14:paraId="26CFBD05" w14:textId="22D8A8D9" w:rsidR="00D636D7" w:rsidRDefault="00D636D7" w:rsidP="00D636D7">
      <w:pPr>
        <w:rPr>
          <w:b/>
          <w:bCs/>
          <w:color w:val="003865"/>
          <w:sz w:val="24"/>
          <w:szCs w:val="24"/>
        </w:rPr>
      </w:pPr>
      <w:r>
        <w:rPr>
          <w:sz w:val="24"/>
          <w:szCs w:val="24"/>
        </w:rPr>
        <w:t xml:space="preserve">If </w:t>
      </w:r>
      <w:r w:rsidRPr="004220FF">
        <w:rPr>
          <w:sz w:val="24"/>
          <w:szCs w:val="24"/>
        </w:rPr>
        <w:t xml:space="preserve">watershed districts (WDs) </w:t>
      </w:r>
      <w:r>
        <w:rPr>
          <w:sz w:val="24"/>
          <w:szCs w:val="24"/>
        </w:rPr>
        <w:t xml:space="preserve">know of projects with </w:t>
      </w:r>
      <w:r w:rsidRPr="004220FF">
        <w:rPr>
          <w:sz w:val="24"/>
          <w:szCs w:val="24"/>
        </w:rPr>
        <w:t>partner</w:t>
      </w:r>
      <w:r>
        <w:rPr>
          <w:sz w:val="24"/>
          <w:szCs w:val="24"/>
        </w:rPr>
        <w:t>ship opportunities</w:t>
      </w:r>
      <w:r w:rsidRPr="004220FF">
        <w:rPr>
          <w:sz w:val="24"/>
          <w:szCs w:val="24"/>
        </w:rPr>
        <w:t xml:space="preserve"> with BWSR </w:t>
      </w:r>
      <w:r>
        <w:rPr>
          <w:sz w:val="24"/>
          <w:szCs w:val="24"/>
        </w:rPr>
        <w:t>to</w:t>
      </w:r>
      <w:r w:rsidRPr="004220FF">
        <w:rPr>
          <w:sz w:val="24"/>
          <w:szCs w:val="24"/>
        </w:rPr>
        <w:t xml:space="preserve"> develop wetland </w:t>
      </w:r>
      <w:r w:rsidR="00D73D5C" w:rsidRPr="004220FF">
        <w:rPr>
          <w:sz w:val="24"/>
          <w:szCs w:val="24"/>
        </w:rPr>
        <w:t>banks,</w:t>
      </w:r>
      <w:r w:rsidRPr="004220FF">
        <w:rPr>
          <w:sz w:val="24"/>
          <w:szCs w:val="24"/>
        </w:rPr>
        <w:t xml:space="preserve"> contact</w:t>
      </w:r>
      <w:r>
        <w:rPr>
          <w:sz w:val="24"/>
          <w:szCs w:val="24"/>
        </w:rPr>
        <w:t>:</w:t>
      </w:r>
    </w:p>
    <w:p w14:paraId="0A931E2B" w14:textId="77777777" w:rsidR="00D636D7" w:rsidRDefault="00D636D7" w:rsidP="00D636D7">
      <w:pPr>
        <w:rPr>
          <w:color w:val="1F497D"/>
          <w:sz w:val="24"/>
          <w:szCs w:val="24"/>
        </w:rPr>
      </w:pPr>
      <w:r>
        <w:rPr>
          <w:b/>
          <w:bCs/>
          <w:color w:val="003865"/>
          <w:sz w:val="24"/>
          <w:szCs w:val="24"/>
        </w:rPr>
        <w:t>Steve Hofstad | Wetland Specialist</w:t>
      </w:r>
    </w:p>
    <w:p w14:paraId="216C3623" w14:textId="77777777" w:rsidR="00D636D7" w:rsidRDefault="00D636D7" w:rsidP="00D636D7">
      <w:pPr>
        <w:pStyle w:val="BodyText"/>
        <w:spacing w:before="0" w:after="0"/>
      </w:pPr>
      <w:r>
        <w:t>(o) 218-846-8423</w:t>
      </w:r>
    </w:p>
    <w:p w14:paraId="4F659D27" w14:textId="77777777" w:rsidR="00D636D7" w:rsidRDefault="00D636D7" w:rsidP="00D636D7">
      <w:pPr>
        <w:pStyle w:val="BodyText"/>
        <w:spacing w:before="0" w:after="0"/>
      </w:pPr>
      <w:r>
        <w:t>(c) 218-770-2767</w:t>
      </w:r>
    </w:p>
    <w:p w14:paraId="084AC31A" w14:textId="77777777" w:rsidR="00D636D7" w:rsidRDefault="00D636D7" w:rsidP="00D636D7">
      <w:pPr>
        <w:pStyle w:val="BodyText"/>
        <w:spacing w:before="0" w:after="0"/>
      </w:pPr>
      <w:r w:rsidRPr="006B3956">
        <w:t>Steve.Hofstad@state.mn.us</w:t>
      </w:r>
    </w:p>
    <w:p w14:paraId="7BA49523" w14:textId="57716086" w:rsidR="00CF3954" w:rsidRDefault="00CF3954" w:rsidP="00CF3954">
      <w:pPr>
        <w:pStyle w:val="Heading3"/>
      </w:pPr>
      <w:r>
        <w:lastRenderedPageBreak/>
        <w:t>One Watershed One Plan</w:t>
      </w:r>
      <w:r w:rsidR="003630C2">
        <w:t xml:space="preserve"> Program</w:t>
      </w:r>
      <w:r w:rsidR="00DA0C46" w:rsidRPr="00DA0C46">
        <w:t xml:space="preserve"> </w:t>
      </w:r>
    </w:p>
    <w:p w14:paraId="786CB22C" w14:textId="69B38908" w:rsidR="00BF1909" w:rsidRPr="006F6C5C" w:rsidRDefault="00BF1909" w:rsidP="00BF1909">
      <w:pPr>
        <w:jc w:val="center"/>
        <w:rPr>
          <w:b/>
          <w:bCs/>
          <w:sz w:val="24"/>
          <w:szCs w:val="24"/>
          <w:u w:val="single"/>
        </w:rPr>
      </w:pPr>
      <w:r w:rsidRPr="006F6C5C">
        <w:rPr>
          <w:b/>
          <w:bCs/>
          <w:sz w:val="24"/>
          <w:szCs w:val="24"/>
          <w:u w:val="single"/>
        </w:rPr>
        <w:t>Status of watershed planning efforts in the Red River Basin (0</w:t>
      </w:r>
      <w:r w:rsidR="00D636D7">
        <w:rPr>
          <w:b/>
          <w:bCs/>
          <w:sz w:val="24"/>
          <w:szCs w:val="24"/>
          <w:u w:val="single"/>
        </w:rPr>
        <w:t>3</w:t>
      </w:r>
      <w:r w:rsidRPr="006F6C5C">
        <w:rPr>
          <w:b/>
          <w:bCs/>
          <w:sz w:val="24"/>
          <w:szCs w:val="24"/>
          <w:u w:val="single"/>
        </w:rPr>
        <w:t>/</w:t>
      </w:r>
      <w:r w:rsidR="00D636D7">
        <w:rPr>
          <w:b/>
          <w:bCs/>
          <w:sz w:val="24"/>
          <w:szCs w:val="24"/>
          <w:u w:val="single"/>
        </w:rPr>
        <w:t>08</w:t>
      </w:r>
      <w:r w:rsidRPr="006F6C5C">
        <w:rPr>
          <w:b/>
          <w:bCs/>
          <w:sz w:val="24"/>
          <w:szCs w:val="24"/>
          <w:u w:val="single"/>
        </w:rPr>
        <w:t>/2</w:t>
      </w:r>
      <w:r w:rsidR="004220FF">
        <w:rPr>
          <w:b/>
          <w:bCs/>
          <w:sz w:val="24"/>
          <w:szCs w:val="24"/>
          <w:u w:val="single"/>
        </w:rPr>
        <w:t>1</w:t>
      </w:r>
      <w:r w:rsidRPr="006F6C5C">
        <w:rPr>
          <w:b/>
          <w:bCs/>
          <w:sz w:val="24"/>
          <w:szCs w:val="24"/>
          <w:u w:val="single"/>
        </w:rPr>
        <w:t>)</w:t>
      </w:r>
    </w:p>
    <w:p w14:paraId="7CFC2D6E" w14:textId="4C175726" w:rsidR="00BF1909" w:rsidRDefault="00BF1909" w:rsidP="00BF1909"/>
    <w:tbl>
      <w:tblPr>
        <w:tblStyle w:val="TableGrid"/>
        <w:tblW w:w="9535" w:type="dxa"/>
        <w:tblLook w:val="04A0" w:firstRow="1" w:lastRow="0" w:firstColumn="1" w:lastColumn="0" w:noHBand="0" w:noVBand="1"/>
      </w:tblPr>
      <w:tblGrid>
        <w:gridCol w:w="3116"/>
        <w:gridCol w:w="6419"/>
      </w:tblGrid>
      <w:tr w:rsidR="00BF1909" w14:paraId="735CF218" w14:textId="77777777" w:rsidTr="00FA3C88">
        <w:tc>
          <w:tcPr>
            <w:tcW w:w="3116" w:type="dxa"/>
            <w:shd w:val="clear" w:color="auto" w:fill="98D1FF" w:themeFill="accent1" w:themeFillTint="40"/>
          </w:tcPr>
          <w:p w14:paraId="7167C114" w14:textId="77777777" w:rsidR="00BF1909" w:rsidRPr="006F6C5C" w:rsidRDefault="00BF1909" w:rsidP="008E7459">
            <w:pPr>
              <w:rPr>
                <w:b/>
                <w:bCs/>
                <w:sz w:val="28"/>
                <w:szCs w:val="28"/>
              </w:rPr>
            </w:pPr>
            <w:r w:rsidRPr="006F6C5C">
              <w:rPr>
                <w:b/>
                <w:bCs/>
                <w:sz w:val="28"/>
                <w:szCs w:val="28"/>
              </w:rPr>
              <w:t>Watershed</w:t>
            </w:r>
          </w:p>
        </w:tc>
        <w:tc>
          <w:tcPr>
            <w:tcW w:w="6419" w:type="dxa"/>
            <w:shd w:val="clear" w:color="auto" w:fill="98D1FF" w:themeFill="accent1" w:themeFillTint="40"/>
          </w:tcPr>
          <w:p w14:paraId="346720AA" w14:textId="3447E081" w:rsidR="00BF1909" w:rsidRPr="006F6C5C" w:rsidRDefault="00BF1909" w:rsidP="008E7459">
            <w:pPr>
              <w:rPr>
                <w:b/>
                <w:bCs/>
                <w:sz w:val="28"/>
                <w:szCs w:val="28"/>
              </w:rPr>
            </w:pPr>
            <w:r w:rsidRPr="006F6C5C">
              <w:rPr>
                <w:b/>
                <w:bCs/>
                <w:sz w:val="28"/>
                <w:szCs w:val="28"/>
              </w:rPr>
              <w:t>Status</w:t>
            </w:r>
          </w:p>
        </w:tc>
      </w:tr>
      <w:tr w:rsidR="00BF1909" w14:paraId="66780146" w14:textId="77777777" w:rsidTr="008E7459">
        <w:tc>
          <w:tcPr>
            <w:tcW w:w="3116" w:type="dxa"/>
          </w:tcPr>
          <w:p w14:paraId="4FC088D7" w14:textId="77777777" w:rsidR="00BF1909" w:rsidRPr="006F6C5C" w:rsidRDefault="00BF1909" w:rsidP="008E7459">
            <w:pPr>
              <w:rPr>
                <w:sz w:val="24"/>
                <w:szCs w:val="24"/>
              </w:rPr>
            </w:pPr>
            <w:r w:rsidRPr="006F6C5C">
              <w:rPr>
                <w:sz w:val="24"/>
                <w:szCs w:val="24"/>
              </w:rPr>
              <w:t>Red Lake</w:t>
            </w:r>
          </w:p>
        </w:tc>
        <w:tc>
          <w:tcPr>
            <w:tcW w:w="6419" w:type="dxa"/>
          </w:tcPr>
          <w:p w14:paraId="284E7F57" w14:textId="77777777" w:rsidR="00BF1909" w:rsidRPr="006F6C5C" w:rsidRDefault="00BF1909" w:rsidP="008E7459">
            <w:pPr>
              <w:rPr>
                <w:sz w:val="24"/>
                <w:szCs w:val="24"/>
              </w:rPr>
            </w:pPr>
            <w:r w:rsidRPr="006F6C5C">
              <w:rPr>
                <w:sz w:val="24"/>
                <w:szCs w:val="24"/>
              </w:rPr>
              <w:t>Plan complete.  Locally adopted.  Working on second implementation work plan.</w:t>
            </w:r>
          </w:p>
        </w:tc>
      </w:tr>
      <w:tr w:rsidR="00BF1909" w14:paraId="5FF2CDD6" w14:textId="77777777" w:rsidTr="008E7459">
        <w:tc>
          <w:tcPr>
            <w:tcW w:w="3116" w:type="dxa"/>
          </w:tcPr>
          <w:p w14:paraId="24D5BE03" w14:textId="77777777" w:rsidR="00BF1909" w:rsidRPr="006F6C5C" w:rsidRDefault="00BF1909" w:rsidP="008E7459">
            <w:pPr>
              <w:rPr>
                <w:sz w:val="24"/>
                <w:szCs w:val="24"/>
              </w:rPr>
            </w:pPr>
            <w:r w:rsidRPr="006F6C5C">
              <w:rPr>
                <w:sz w:val="24"/>
                <w:szCs w:val="24"/>
              </w:rPr>
              <w:t>Thief</w:t>
            </w:r>
          </w:p>
        </w:tc>
        <w:tc>
          <w:tcPr>
            <w:tcW w:w="6419" w:type="dxa"/>
          </w:tcPr>
          <w:p w14:paraId="36E73BED" w14:textId="493CBC60" w:rsidR="00BF1909" w:rsidRPr="006F6C5C" w:rsidRDefault="00BF1909" w:rsidP="008E7459">
            <w:pPr>
              <w:rPr>
                <w:sz w:val="24"/>
                <w:szCs w:val="24"/>
              </w:rPr>
            </w:pPr>
            <w:r w:rsidRPr="006F6C5C">
              <w:rPr>
                <w:sz w:val="24"/>
                <w:szCs w:val="24"/>
              </w:rPr>
              <w:t xml:space="preserve">Plan complete.  Locally adopted.  Working on </w:t>
            </w:r>
            <w:r w:rsidR="00316019">
              <w:rPr>
                <w:sz w:val="24"/>
                <w:szCs w:val="24"/>
              </w:rPr>
              <w:t>first</w:t>
            </w:r>
            <w:r w:rsidRPr="006F6C5C">
              <w:rPr>
                <w:sz w:val="24"/>
                <w:szCs w:val="24"/>
              </w:rPr>
              <w:t xml:space="preserve"> implementation work plan.</w:t>
            </w:r>
          </w:p>
        </w:tc>
      </w:tr>
      <w:tr w:rsidR="00BF1909" w14:paraId="376A7EB9" w14:textId="77777777" w:rsidTr="008E7459">
        <w:tc>
          <w:tcPr>
            <w:tcW w:w="3116" w:type="dxa"/>
          </w:tcPr>
          <w:p w14:paraId="00CF6350" w14:textId="77777777" w:rsidR="00BF1909" w:rsidRPr="006F6C5C" w:rsidRDefault="00BF1909" w:rsidP="008E7459">
            <w:pPr>
              <w:rPr>
                <w:sz w:val="24"/>
                <w:szCs w:val="24"/>
              </w:rPr>
            </w:pPr>
            <w:r w:rsidRPr="006F6C5C">
              <w:rPr>
                <w:sz w:val="24"/>
                <w:szCs w:val="24"/>
              </w:rPr>
              <w:t>Wild Rice / Marsh</w:t>
            </w:r>
          </w:p>
        </w:tc>
        <w:tc>
          <w:tcPr>
            <w:tcW w:w="6419" w:type="dxa"/>
          </w:tcPr>
          <w:p w14:paraId="2F219C00" w14:textId="77777777" w:rsidR="00BF1909" w:rsidRPr="006F6C5C" w:rsidRDefault="00BF1909" w:rsidP="008E7459">
            <w:pPr>
              <w:rPr>
                <w:sz w:val="24"/>
                <w:szCs w:val="24"/>
              </w:rPr>
            </w:pPr>
            <w:r w:rsidRPr="006F6C5C">
              <w:rPr>
                <w:sz w:val="24"/>
                <w:szCs w:val="24"/>
              </w:rPr>
              <w:t>Plan complete.  BWSR approved.  Working on local adoption. Working on grant agreement/work plan.</w:t>
            </w:r>
          </w:p>
        </w:tc>
      </w:tr>
      <w:tr w:rsidR="00BF1909" w14:paraId="6DEEFBB0" w14:textId="77777777" w:rsidTr="008E7459">
        <w:tc>
          <w:tcPr>
            <w:tcW w:w="3116" w:type="dxa"/>
          </w:tcPr>
          <w:p w14:paraId="0B8C5291" w14:textId="77777777" w:rsidR="00BF1909" w:rsidRPr="006F6C5C" w:rsidRDefault="00BF1909" w:rsidP="008E7459">
            <w:pPr>
              <w:rPr>
                <w:sz w:val="24"/>
                <w:szCs w:val="24"/>
              </w:rPr>
            </w:pPr>
            <w:r w:rsidRPr="006F6C5C">
              <w:rPr>
                <w:sz w:val="24"/>
                <w:szCs w:val="24"/>
              </w:rPr>
              <w:t>Buffalo-Red</w:t>
            </w:r>
          </w:p>
        </w:tc>
        <w:tc>
          <w:tcPr>
            <w:tcW w:w="6419" w:type="dxa"/>
          </w:tcPr>
          <w:p w14:paraId="21484E42" w14:textId="7726B770" w:rsidR="00BF1909" w:rsidRPr="006F6C5C" w:rsidRDefault="00BF1909" w:rsidP="008E7459">
            <w:pPr>
              <w:rPr>
                <w:sz w:val="24"/>
                <w:szCs w:val="24"/>
              </w:rPr>
            </w:pPr>
            <w:r w:rsidRPr="006F6C5C">
              <w:rPr>
                <w:sz w:val="24"/>
                <w:szCs w:val="24"/>
              </w:rPr>
              <w:t xml:space="preserve">Plan complete.  BWSR approved. </w:t>
            </w:r>
            <w:r w:rsidR="00D636D7">
              <w:rPr>
                <w:sz w:val="24"/>
                <w:szCs w:val="24"/>
              </w:rPr>
              <w:t>Locally adopted. Grant agreement should be in place before the end of March</w:t>
            </w:r>
            <w:r w:rsidRPr="006F6C5C">
              <w:rPr>
                <w:sz w:val="24"/>
                <w:szCs w:val="24"/>
              </w:rPr>
              <w:t>.</w:t>
            </w:r>
          </w:p>
        </w:tc>
      </w:tr>
      <w:tr w:rsidR="00BF1909" w14:paraId="3E9A0564" w14:textId="77777777" w:rsidTr="008E7459">
        <w:tc>
          <w:tcPr>
            <w:tcW w:w="3116" w:type="dxa"/>
          </w:tcPr>
          <w:p w14:paraId="043A743F" w14:textId="77777777" w:rsidR="00BF1909" w:rsidRPr="006F6C5C" w:rsidRDefault="00BF1909" w:rsidP="008E7459">
            <w:pPr>
              <w:rPr>
                <w:sz w:val="24"/>
                <w:szCs w:val="24"/>
              </w:rPr>
            </w:pPr>
            <w:proofErr w:type="spellStart"/>
            <w:r w:rsidRPr="006F6C5C">
              <w:rPr>
                <w:sz w:val="24"/>
                <w:szCs w:val="24"/>
              </w:rPr>
              <w:t>Mustinka</w:t>
            </w:r>
            <w:proofErr w:type="spellEnd"/>
            <w:r w:rsidRPr="006F6C5C">
              <w:rPr>
                <w:sz w:val="24"/>
                <w:szCs w:val="24"/>
              </w:rPr>
              <w:t xml:space="preserve"> / </w:t>
            </w:r>
            <w:proofErr w:type="spellStart"/>
            <w:r w:rsidRPr="006F6C5C">
              <w:rPr>
                <w:sz w:val="24"/>
                <w:szCs w:val="24"/>
              </w:rPr>
              <w:t>Bois</w:t>
            </w:r>
            <w:proofErr w:type="spellEnd"/>
            <w:r w:rsidRPr="006F6C5C">
              <w:rPr>
                <w:sz w:val="24"/>
                <w:szCs w:val="24"/>
              </w:rPr>
              <w:t xml:space="preserve"> de Sioux</w:t>
            </w:r>
          </w:p>
        </w:tc>
        <w:tc>
          <w:tcPr>
            <w:tcW w:w="6419" w:type="dxa"/>
          </w:tcPr>
          <w:p w14:paraId="518A382D" w14:textId="4F1E33C7" w:rsidR="00BF1909" w:rsidRPr="006F6C5C" w:rsidRDefault="00BF1909" w:rsidP="008E7459">
            <w:pPr>
              <w:rPr>
                <w:sz w:val="24"/>
                <w:szCs w:val="24"/>
              </w:rPr>
            </w:pPr>
            <w:r w:rsidRPr="006F6C5C">
              <w:rPr>
                <w:sz w:val="24"/>
                <w:szCs w:val="24"/>
              </w:rPr>
              <w:t xml:space="preserve">Plan complete.  BWSR </w:t>
            </w:r>
            <w:r w:rsidR="00D636D7">
              <w:rPr>
                <w:sz w:val="24"/>
                <w:szCs w:val="24"/>
              </w:rPr>
              <w:t>a</w:t>
            </w:r>
            <w:r w:rsidRPr="006F6C5C">
              <w:rPr>
                <w:sz w:val="24"/>
                <w:szCs w:val="24"/>
              </w:rPr>
              <w:t>pprov</w:t>
            </w:r>
            <w:r w:rsidR="00D636D7">
              <w:rPr>
                <w:sz w:val="24"/>
                <w:szCs w:val="24"/>
              </w:rPr>
              <w:t>ed</w:t>
            </w:r>
            <w:r w:rsidR="00D636D7" w:rsidRPr="006F6C5C">
              <w:rPr>
                <w:sz w:val="24"/>
                <w:szCs w:val="24"/>
              </w:rPr>
              <w:t xml:space="preserve">. </w:t>
            </w:r>
            <w:r w:rsidR="00D636D7">
              <w:rPr>
                <w:sz w:val="24"/>
                <w:szCs w:val="24"/>
              </w:rPr>
              <w:t>Locally adopted.  Grant agreement should be in place by mid-March.</w:t>
            </w:r>
          </w:p>
        </w:tc>
      </w:tr>
      <w:tr w:rsidR="00BF1909" w14:paraId="2FC115EC" w14:textId="77777777" w:rsidTr="008E7459">
        <w:tc>
          <w:tcPr>
            <w:tcW w:w="3116" w:type="dxa"/>
          </w:tcPr>
          <w:p w14:paraId="35CDAE83" w14:textId="77777777" w:rsidR="00BF1909" w:rsidRPr="006F6C5C" w:rsidRDefault="00BF1909" w:rsidP="008E7459">
            <w:pPr>
              <w:rPr>
                <w:sz w:val="24"/>
                <w:szCs w:val="24"/>
              </w:rPr>
            </w:pPr>
            <w:r w:rsidRPr="006F6C5C">
              <w:rPr>
                <w:sz w:val="24"/>
                <w:szCs w:val="24"/>
              </w:rPr>
              <w:t>Two Rivers Plus</w:t>
            </w:r>
          </w:p>
        </w:tc>
        <w:tc>
          <w:tcPr>
            <w:tcW w:w="6419" w:type="dxa"/>
          </w:tcPr>
          <w:p w14:paraId="2EACA19F" w14:textId="7D90FAA3" w:rsidR="00BF1909" w:rsidRPr="006F6C5C" w:rsidRDefault="00BF1909" w:rsidP="008E7459">
            <w:pPr>
              <w:rPr>
                <w:sz w:val="24"/>
                <w:szCs w:val="24"/>
              </w:rPr>
            </w:pPr>
            <w:r w:rsidRPr="006F6C5C">
              <w:rPr>
                <w:sz w:val="24"/>
                <w:szCs w:val="24"/>
              </w:rPr>
              <w:t xml:space="preserve">Plan fully drafted.  </w:t>
            </w:r>
            <w:r w:rsidR="00D636D7">
              <w:rPr>
                <w:sz w:val="24"/>
                <w:szCs w:val="24"/>
              </w:rPr>
              <w:t xml:space="preserve">In 60-day final review period.  Expected to go to BWSR Northern Committee in </w:t>
            </w:r>
            <w:r w:rsidR="00316019">
              <w:rPr>
                <w:sz w:val="24"/>
                <w:szCs w:val="24"/>
              </w:rPr>
              <w:t>June</w:t>
            </w:r>
            <w:r w:rsidR="00D636D7">
              <w:rPr>
                <w:sz w:val="24"/>
                <w:szCs w:val="24"/>
              </w:rPr>
              <w:t>.</w:t>
            </w:r>
          </w:p>
        </w:tc>
      </w:tr>
      <w:tr w:rsidR="00BF1909" w14:paraId="74E2E8A4" w14:textId="77777777" w:rsidTr="008E7459">
        <w:tc>
          <w:tcPr>
            <w:tcW w:w="3116" w:type="dxa"/>
          </w:tcPr>
          <w:p w14:paraId="1D72CB50" w14:textId="77777777" w:rsidR="00BF1909" w:rsidRPr="006F6C5C" w:rsidRDefault="00BF1909" w:rsidP="008E7459">
            <w:pPr>
              <w:rPr>
                <w:sz w:val="24"/>
                <w:szCs w:val="24"/>
              </w:rPr>
            </w:pPr>
            <w:r w:rsidRPr="006F6C5C">
              <w:rPr>
                <w:sz w:val="24"/>
                <w:szCs w:val="24"/>
              </w:rPr>
              <w:t>Middle-Snake-Tamarac</w:t>
            </w:r>
          </w:p>
        </w:tc>
        <w:tc>
          <w:tcPr>
            <w:tcW w:w="6419" w:type="dxa"/>
          </w:tcPr>
          <w:p w14:paraId="57EE87F7" w14:textId="5568BF3B" w:rsidR="00BF1909" w:rsidRPr="006F6C5C" w:rsidRDefault="00D636D7" w:rsidP="008E7459">
            <w:pPr>
              <w:rPr>
                <w:sz w:val="24"/>
                <w:szCs w:val="24"/>
              </w:rPr>
            </w:pPr>
            <w:r>
              <w:rPr>
                <w:sz w:val="24"/>
                <w:szCs w:val="24"/>
              </w:rPr>
              <w:t>Planning grant agreement in place.  Steering team and policy committee beginning to work through initial planning phases</w:t>
            </w:r>
          </w:p>
        </w:tc>
      </w:tr>
      <w:tr w:rsidR="00BF1909" w14:paraId="6FF30686" w14:textId="77777777" w:rsidTr="008E7459">
        <w:tc>
          <w:tcPr>
            <w:tcW w:w="3116" w:type="dxa"/>
          </w:tcPr>
          <w:p w14:paraId="4003DA95" w14:textId="77777777" w:rsidR="00BF1909" w:rsidRPr="006F6C5C" w:rsidRDefault="00BF1909" w:rsidP="008E7459">
            <w:pPr>
              <w:rPr>
                <w:sz w:val="24"/>
                <w:szCs w:val="24"/>
              </w:rPr>
            </w:pPr>
            <w:r w:rsidRPr="006F6C5C">
              <w:rPr>
                <w:sz w:val="24"/>
                <w:szCs w:val="24"/>
              </w:rPr>
              <w:t>Clearwater</w:t>
            </w:r>
          </w:p>
        </w:tc>
        <w:tc>
          <w:tcPr>
            <w:tcW w:w="6419" w:type="dxa"/>
          </w:tcPr>
          <w:p w14:paraId="6EE55B78" w14:textId="52EE569D" w:rsidR="00BF1909" w:rsidRPr="006F6C5C" w:rsidRDefault="00D636D7" w:rsidP="008E7459">
            <w:pPr>
              <w:rPr>
                <w:sz w:val="24"/>
                <w:szCs w:val="24"/>
              </w:rPr>
            </w:pPr>
            <w:r>
              <w:rPr>
                <w:sz w:val="24"/>
                <w:szCs w:val="24"/>
              </w:rPr>
              <w:t>Planning grant agreement in place.  Steering team and policy committee beginning to work through initial planning phases.</w:t>
            </w:r>
          </w:p>
        </w:tc>
      </w:tr>
      <w:tr w:rsidR="00BF1909" w14:paraId="7D11A9AD" w14:textId="77777777" w:rsidTr="008E7459">
        <w:tc>
          <w:tcPr>
            <w:tcW w:w="3116" w:type="dxa"/>
          </w:tcPr>
          <w:p w14:paraId="594E2D4D" w14:textId="77777777" w:rsidR="00BF1909" w:rsidRPr="006F6C5C" w:rsidRDefault="00BF1909" w:rsidP="008E7459">
            <w:pPr>
              <w:rPr>
                <w:sz w:val="24"/>
                <w:szCs w:val="24"/>
              </w:rPr>
            </w:pPr>
            <w:r w:rsidRPr="006F6C5C">
              <w:rPr>
                <w:sz w:val="24"/>
                <w:szCs w:val="24"/>
              </w:rPr>
              <w:t>Otter Tail</w:t>
            </w:r>
          </w:p>
        </w:tc>
        <w:tc>
          <w:tcPr>
            <w:tcW w:w="6419" w:type="dxa"/>
          </w:tcPr>
          <w:p w14:paraId="272CCF19" w14:textId="32DB7F89" w:rsidR="00BF1909" w:rsidRPr="006F6C5C" w:rsidRDefault="00BF1909" w:rsidP="008E7459">
            <w:pPr>
              <w:rPr>
                <w:sz w:val="24"/>
                <w:szCs w:val="24"/>
              </w:rPr>
            </w:pPr>
            <w:r>
              <w:rPr>
                <w:sz w:val="24"/>
                <w:szCs w:val="24"/>
              </w:rPr>
              <w:t>Developing grant work plan, budget, and timeline</w:t>
            </w:r>
            <w:r w:rsidR="00FA3C88">
              <w:rPr>
                <w:sz w:val="24"/>
                <w:szCs w:val="24"/>
              </w:rPr>
              <w:t>.</w:t>
            </w:r>
            <w:r w:rsidR="00D636D7">
              <w:rPr>
                <w:sz w:val="24"/>
                <w:szCs w:val="24"/>
              </w:rPr>
              <w:t xml:space="preserve">  Expect MOU to be complete by end of March with grant agreement to follow </w:t>
            </w:r>
            <w:r w:rsidR="007D6E3C">
              <w:rPr>
                <w:sz w:val="24"/>
                <w:szCs w:val="24"/>
              </w:rPr>
              <w:t>soon thereafter.</w:t>
            </w:r>
          </w:p>
        </w:tc>
      </w:tr>
      <w:tr w:rsidR="00BF1909" w14:paraId="6F224A6A" w14:textId="77777777" w:rsidTr="008E7459">
        <w:tc>
          <w:tcPr>
            <w:tcW w:w="3116" w:type="dxa"/>
          </w:tcPr>
          <w:p w14:paraId="29A74983" w14:textId="7A1C853C" w:rsidR="00BF1909" w:rsidRPr="006F6C5C" w:rsidRDefault="00BF1909" w:rsidP="008E7459">
            <w:pPr>
              <w:rPr>
                <w:sz w:val="24"/>
                <w:szCs w:val="24"/>
              </w:rPr>
            </w:pPr>
            <w:r w:rsidRPr="006F6C5C">
              <w:rPr>
                <w:sz w:val="24"/>
                <w:szCs w:val="24"/>
              </w:rPr>
              <w:t>Roseau</w:t>
            </w:r>
            <w:r w:rsidR="00053C37">
              <w:rPr>
                <w:sz w:val="24"/>
                <w:szCs w:val="24"/>
              </w:rPr>
              <w:t xml:space="preserve"> &amp; Sand Hill River</w:t>
            </w:r>
          </w:p>
        </w:tc>
        <w:tc>
          <w:tcPr>
            <w:tcW w:w="6419" w:type="dxa"/>
          </w:tcPr>
          <w:p w14:paraId="11BBDD37" w14:textId="476B4FB1" w:rsidR="00BF1909" w:rsidRPr="006F6C5C" w:rsidRDefault="00BF1909" w:rsidP="008E7459">
            <w:pPr>
              <w:rPr>
                <w:sz w:val="24"/>
                <w:szCs w:val="24"/>
              </w:rPr>
            </w:pPr>
            <w:r>
              <w:rPr>
                <w:sz w:val="24"/>
                <w:szCs w:val="24"/>
              </w:rPr>
              <w:t xml:space="preserve">May apply </w:t>
            </w:r>
            <w:r w:rsidR="007D6E3C">
              <w:rPr>
                <w:sz w:val="24"/>
                <w:szCs w:val="24"/>
              </w:rPr>
              <w:t>for</w:t>
            </w:r>
            <w:r>
              <w:rPr>
                <w:sz w:val="24"/>
                <w:szCs w:val="24"/>
              </w:rPr>
              <w:t xml:space="preserve"> 2021</w:t>
            </w:r>
            <w:r w:rsidR="007D6E3C">
              <w:rPr>
                <w:sz w:val="24"/>
                <w:szCs w:val="24"/>
              </w:rPr>
              <w:t xml:space="preserve"> grant program</w:t>
            </w:r>
            <w:r>
              <w:rPr>
                <w:sz w:val="24"/>
                <w:szCs w:val="24"/>
              </w:rPr>
              <w:t>.</w:t>
            </w:r>
          </w:p>
        </w:tc>
      </w:tr>
    </w:tbl>
    <w:p w14:paraId="1404B6B5" w14:textId="2A51C513" w:rsidR="00BF1909" w:rsidRDefault="00BF1909" w:rsidP="00BF1909"/>
    <w:p w14:paraId="5C167931" w14:textId="5C01B365" w:rsidR="00963BA0" w:rsidRDefault="00D67A4A" w:rsidP="00D67A4A">
      <w:pPr>
        <w:pStyle w:val="Heading3"/>
      </w:pPr>
      <w:r>
        <w:t>Legislative Updates</w:t>
      </w:r>
    </w:p>
    <w:p w14:paraId="484C1357" w14:textId="38C26921" w:rsidR="00D67A4A" w:rsidRPr="00D67A4A" w:rsidRDefault="00D67A4A" w:rsidP="00D67A4A">
      <w:pPr>
        <w:pStyle w:val="BodyText"/>
      </w:pPr>
      <w:r>
        <w:t>MMB February budget forecast showed a positive turn for expected revenues.  A variety of budget bills related to BWSR funding are moving forward consistent with the Governor’s recommendations.  The Governor’s recommendations for clean water fund appropriations are consistent with the recommendations of the Clean Water Council including $108 million of pass through funding to BWSR for local implementation (</w:t>
      </w:r>
      <w:proofErr w:type="spellStart"/>
      <w:r>
        <w:t>i.e</w:t>
      </w:r>
      <w:proofErr w:type="spellEnd"/>
      <w:r>
        <w:t xml:space="preserve"> clean water fund grants). SWCD capacity funding through clean water funds was not included in the Governor’s budget.  </w:t>
      </w:r>
      <w:r w:rsidR="00053C37">
        <w:t xml:space="preserve">The Governor’s recommendations included a $5.5 million soil health initiative (HF936/SF1036) and a $3 million water storage program (HF932/SF1037).  BWSR staff are beginning to discuss the implications of these bills and the prospective policies and programs that may need to be developed. </w:t>
      </w:r>
    </w:p>
    <w:sectPr w:rsidR="00D67A4A" w:rsidRPr="00D67A4A" w:rsidSect="00053C37">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720" w:right="1440" w:bottom="1440" w:left="144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EF8B" w14:textId="77777777" w:rsidR="00D3688A" w:rsidRDefault="00D3688A">
      <w:r>
        <w:separator/>
      </w:r>
    </w:p>
  </w:endnote>
  <w:endnote w:type="continuationSeparator" w:id="0">
    <w:p w14:paraId="5026E1B1" w14:textId="77777777" w:rsidR="00D3688A" w:rsidRDefault="00D3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E27B" w14:textId="77777777" w:rsidR="00D636D7" w:rsidRDefault="00D6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10704" w14:textId="77777777" w:rsidR="00D636D7" w:rsidRPr="00BE3444" w:rsidRDefault="00D636D7" w:rsidP="00BE3444">
    <w:pPr>
      <w:pBdr>
        <w:top w:val="single" w:sz="4" w:space="10" w:color="BFBFBF"/>
      </w:pBdr>
      <w:tabs>
        <w:tab w:val="right" w:pos="10080"/>
      </w:tabs>
      <w:rPr>
        <w:sz w:val="18"/>
        <w:szCs w:val="18"/>
      </w:rPr>
    </w:pPr>
    <w:r>
      <w:rPr>
        <w:rFonts w:asciiTheme="minorHAnsi" w:hAnsiTheme="minorHAnsi"/>
        <w:sz w:val="18"/>
        <w:szCs w:val="18"/>
      </w:rPr>
      <w:ptab w:relativeTo="margin" w:alignment="center" w:leader="none"/>
    </w:r>
    <w:r>
      <w:rPr>
        <w:rFonts w:asciiTheme="minorHAnsi" w:hAnsiTheme="minorHAnsi"/>
        <w:sz w:val="18"/>
        <w:szCs w:val="18"/>
      </w:rPr>
      <w:t>www.bwsr.state.mn.us</w:t>
    </w:r>
    <w:r w:rsidRPr="00BE3444">
      <w:rPr>
        <w:sz w:val="18"/>
        <w:szCs w:val="18"/>
      </w:rPr>
      <w:tab/>
    </w:r>
    <w:r w:rsidRPr="00BE3444">
      <w:rPr>
        <w:sz w:val="18"/>
        <w:szCs w:val="18"/>
      </w:rPr>
      <w:fldChar w:fldCharType="begin"/>
    </w:r>
    <w:r w:rsidRPr="00BE3444">
      <w:rPr>
        <w:sz w:val="18"/>
        <w:szCs w:val="18"/>
      </w:rPr>
      <w:instrText xml:space="preserve"> PAGE   \* MERGEFORMAT </w:instrText>
    </w:r>
    <w:r w:rsidRPr="00BE3444">
      <w:rPr>
        <w:sz w:val="18"/>
        <w:szCs w:val="18"/>
      </w:rPr>
      <w:fldChar w:fldCharType="separate"/>
    </w:r>
    <w:r>
      <w:rPr>
        <w:noProof/>
        <w:sz w:val="18"/>
        <w:szCs w:val="18"/>
      </w:rPr>
      <w:t>2</w:t>
    </w:r>
    <w:r w:rsidRPr="00BE3444">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E41D0" w14:textId="77777777" w:rsidR="00D636D7" w:rsidRPr="00BE3444" w:rsidRDefault="00D636D7" w:rsidP="00BE3444">
    <w:pPr>
      <w:pBdr>
        <w:top w:val="single" w:sz="4" w:space="10" w:color="BFBFBF"/>
      </w:pBdr>
      <w:tabs>
        <w:tab w:val="right" w:pos="10080"/>
      </w:tabs>
      <w:rPr>
        <w:sz w:val="18"/>
        <w:szCs w:val="18"/>
      </w:rPr>
    </w:pPr>
    <w:r>
      <w:rPr>
        <w:rFonts w:asciiTheme="minorHAnsi" w:hAnsiTheme="minorHAnsi"/>
        <w:sz w:val="18"/>
        <w:szCs w:val="18"/>
      </w:rPr>
      <w:ptab w:relativeTo="margin" w:alignment="center" w:leader="none"/>
    </w:r>
    <w:r>
      <w:rPr>
        <w:rFonts w:asciiTheme="minorHAnsi" w:hAnsiTheme="minorHAnsi"/>
        <w:sz w:val="18"/>
        <w:szCs w:val="18"/>
      </w:rPr>
      <w:t>www.bwsr.state.mn.us</w:t>
    </w:r>
    <w:r w:rsidRPr="00BE3444">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FEBC" w14:textId="77777777" w:rsidR="00990E51" w:rsidRDefault="00990E5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2493" w14:textId="77777777" w:rsidR="00990E51" w:rsidRDefault="00990E5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45E8" w14:textId="77777777" w:rsidR="00AD39DA" w:rsidRPr="00AD39DA" w:rsidRDefault="00AD39DA" w:rsidP="008140CC">
    <w:pPr>
      <w:pStyle w:val="BodyText"/>
    </w:pPr>
    <w:r>
      <w:t>658 Cedar Street, St. Paul, MN 55155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C09D5" w14:textId="77777777" w:rsidR="00D3688A" w:rsidRDefault="00D3688A">
      <w:r>
        <w:separator/>
      </w:r>
    </w:p>
  </w:footnote>
  <w:footnote w:type="continuationSeparator" w:id="0">
    <w:p w14:paraId="3FC08311" w14:textId="77777777" w:rsidR="00D3688A" w:rsidRDefault="00D3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488B" w14:textId="77777777" w:rsidR="00D636D7" w:rsidRDefault="00D63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0C7C2" w14:textId="77777777" w:rsidR="00D636D7" w:rsidRDefault="00D63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42BBD" w14:textId="77777777" w:rsidR="00D636D7" w:rsidRPr="00BE3444" w:rsidRDefault="00D636D7" w:rsidP="00934648">
    <w:pPr>
      <w:spacing w:before="360"/>
      <w:rPr>
        <w:color w:val="003865"/>
      </w:rPr>
    </w:pPr>
    <w:r>
      <w:rPr>
        <w:noProof/>
        <w:color w:val="FFFFFF" w:themeColor="background1"/>
        <w:lang w:bidi="ar-SA"/>
      </w:rPr>
      <w:drawing>
        <wp:inline distT="0" distB="0" distL="0" distR="0" wp14:anchorId="771132FF" wp14:editId="69DE54D9">
          <wp:extent cx="5915025" cy="83444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WSR Logo CMYK (Reverse).eps"/>
                  <pic:cNvPicPr/>
                </pic:nvPicPr>
                <pic:blipFill rotWithShape="1">
                  <a:blip r:embed="rId1">
                    <a:extLst>
                      <a:ext uri="{28A0092B-C50C-407E-A947-70E740481C1C}">
                        <a14:useLocalDpi xmlns:a14="http://schemas.microsoft.com/office/drawing/2010/main" val="0"/>
                      </a:ext>
                    </a:extLst>
                  </a:blip>
                  <a:srcRect t="75235"/>
                  <a:stretch/>
                </pic:blipFill>
                <pic:spPr bwMode="auto">
                  <a:xfrm>
                    <a:off x="0" y="0"/>
                    <a:ext cx="5996861" cy="845986"/>
                  </a:xfrm>
                  <a:prstGeom prst="rect">
                    <a:avLst/>
                  </a:prstGeom>
                  <a:ln>
                    <a:noFill/>
                  </a:ln>
                  <a:extLst>
                    <a:ext uri="{53640926-AAD7-44D8-BBD7-CCE9431645EC}">
                      <a14:shadowObscured xmlns:a14="http://schemas.microsoft.com/office/drawing/2010/main"/>
                    </a:ext>
                  </a:extLst>
                </pic:spPr>
              </pic:pic>
            </a:graphicData>
          </a:graphic>
        </wp:inline>
      </w:drawing>
    </w:r>
    <w:r>
      <w:rPr>
        <w:noProof/>
        <w:color w:val="FFFFFF" w:themeColor="background1"/>
        <w:lang w:bidi="ar-SA"/>
      </w:rPr>
      <mc:AlternateContent>
        <mc:Choice Requires="wps">
          <w:drawing>
            <wp:anchor distT="0" distB="0" distL="114300" distR="114300" simplePos="0" relativeHeight="251659264" behindDoc="1" locked="0" layoutInCell="1" allowOverlap="1" wp14:anchorId="1169FE8C" wp14:editId="2A57020C">
              <wp:simplePos x="0" y="0"/>
              <wp:positionH relativeFrom="page">
                <wp:align>left</wp:align>
              </wp:positionH>
              <wp:positionV relativeFrom="paragraph">
                <wp:posOffset>0</wp:posOffset>
              </wp:positionV>
              <wp:extent cx="7808792" cy="1355835"/>
              <wp:effectExtent l="0" t="0" r="20955" b="15875"/>
              <wp:wrapNone/>
              <wp:docPr id="1" name="Rectangle 1" descr="decorative element"/>
              <wp:cNvGraphicFramePr/>
              <a:graphic xmlns:a="http://schemas.openxmlformats.org/drawingml/2006/main">
                <a:graphicData uri="http://schemas.microsoft.com/office/word/2010/wordprocessingShape">
                  <wps:wsp>
                    <wps:cNvSpPr/>
                    <wps:spPr>
                      <a:xfrm>
                        <a:off x="0" y="0"/>
                        <a:ext cx="7808792" cy="13558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D549" id="Rectangle 1" o:spid="_x0000_s1026" alt="decorative element" style="position:absolute;margin-left:0;margin-top:0;width:614.85pt;height:106.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" fillcolor="#003865 [3204]" strokecolor="#001b32 [1604]" strokeweight="2pt">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8768" w14:textId="77777777" w:rsidR="00990E51" w:rsidRDefault="00990E5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F234" w14:textId="77777777" w:rsidR="00990E51" w:rsidRDefault="00990E5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7A5E" w14:textId="77777777" w:rsidR="009F6B2C" w:rsidRPr="00BE3444" w:rsidRDefault="009F6B2C">
    <w:pPr>
      <w:rPr>
        <w:color w:val="00386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6.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05709CD"/>
    <w:multiLevelType w:val="hybridMultilevel"/>
    <w:tmpl w:val="7ABE4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86151"/>
    <w:multiLevelType w:val="hybridMultilevel"/>
    <w:tmpl w:val="3EE8B1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C2CA6"/>
    <w:multiLevelType w:val="hybridMultilevel"/>
    <w:tmpl w:val="32600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1"/>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2"/>
  </w:num>
  <w:num w:numId="15">
    <w:abstractNumId w:val="2"/>
  </w:num>
  <w:num w:numId="16">
    <w:abstractNumId w:val="21"/>
  </w:num>
  <w:num w:numId="17">
    <w:abstractNumId w:val="12"/>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18"/>
  </w:num>
  <w:num w:numId="26">
    <w:abstractNumId w:val="13"/>
  </w:num>
  <w:num w:numId="2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18"/>
    <w:rsid w:val="00002DEC"/>
    <w:rsid w:val="000065AC"/>
    <w:rsid w:val="00006A0A"/>
    <w:rsid w:val="0000789D"/>
    <w:rsid w:val="00040DFD"/>
    <w:rsid w:val="0004521D"/>
    <w:rsid w:val="000474A4"/>
    <w:rsid w:val="00053C37"/>
    <w:rsid w:val="00064B90"/>
    <w:rsid w:val="0007374A"/>
    <w:rsid w:val="00080404"/>
    <w:rsid w:val="00084742"/>
    <w:rsid w:val="0009187D"/>
    <w:rsid w:val="000B2E68"/>
    <w:rsid w:val="000C3708"/>
    <w:rsid w:val="000C3761"/>
    <w:rsid w:val="000C7373"/>
    <w:rsid w:val="000D371B"/>
    <w:rsid w:val="000D4C42"/>
    <w:rsid w:val="000E313B"/>
    <w:rsid w:val="000E3E9D"/>
    <w:rsid w:val="000F4BB1"/>
    <w:rsid w:val="001145C4"/>
    <w:rsid w:val="00126388"/>
    <w:rsid w:val="001328E1"/>
    <w:rsid w:val="00135082"/>
    <w:rsid w:val="00135DC7"/>
    <w:rsid w:val="00147ED1"/>
    <w:rsid w:val="001500D6"/>
    <w:rsid w:val="00157C41"/>
    <w:rsid w:val="001661D9"/>
    <w:rsid w:val="001708EC"/>
    <w:rsid w:val="001925A8"/>
    <w:rsid w:val="001949EE"/>
    <w:rsid w:val="00195827"/>
    <w:rsid w:val="0019673D"/>
    <w:rsid w:val="00197518"/>
    <w:rsid w:val="001A46BB"/>
    <w:rsid w:val="001A6D82"/>
    <w:rsid w:val="001B7D48"/>
    <w:rsid w:val="001C55E0"/>
    <w:rsid w:val="001E3AAF"/>
    <w:rsid w:val="001E5ECF"/>
    <w:rsid w:val="00211CA3"/>
    <w:rsid w:val="00222A49"/>
    <w:rsid w:val="002244F1"/>
    <w:rsid w:val="0022552E"/>
    <w:rsid w:val="0024081F"/>
    <w:rsid w:val="00242AD3"/>
    <w:rsid w:val="002533D0"/>
    <w:rsid w:val="00261247"/>
    <w:rsid w:val="00262C94"/>
    <w:rsid w:val="00264652"/>
    <w:rsid w:val="0026674F"/>
    <w:rsid w:val="002802E9"/>
    <w:rsid w:val="00282084"/>
    <w:rsid w:val="00291052"/>
    <w:rsid w:val="002A2712"/>
    <w:rsid w:val="002A40EF"/>
    <w:rsid w:val="002A4CBB"/>
    <w:rsid w:val="002B42A9"/>
    <w:rsid w:val="002B5E79"/>
    <w:rsid w:val="002C0859"/>
    <w:rsid w:val="002D5E6A"/>
    <w:rsid w:val="002F1947"/>
    <w:rsid w:val="00306D94"/>
    <w:rsid w:val="003125DF"/>
    <w:rsid w:val="00316019"/>
    <w:rsid w:val="00330A0B"/>
    <w:rsid w:val="00334267"/>
    <w:rsid w:val="00335736"/>
    <w:rsid w:val="003563D2"/>
    <w:rsid w:val="003630C2"/>
    <w:rsid w:val="00376FA5"/>
    <w:rsid w:val="003879CA"/>
    <w:rsid w:val="00392F35"/>
    <w:rsid w:val="003A1479"/>
    <w:rsid w:val="003A1813"/>
    <w:rsid w:val="003B7D82"/>
    <w:rsid w:val="003C4644"/>
    <w:rsid w:val="003C5BE3"/>
    <w:rsid w:val="003F29F5"/>
    <w:rsid w:val="003F3C96"/>
    <w:rsid w:val="00413A7C"/>
    <w:rsid w:val="004141DD"/>
    <w:rsid w:val="00416B48"/>
    <w:rsid w:val="004220FF"/>
    <w:rsid w:val="00427C73"/>
    <w:rsid w:val="00432301"/>
    <w:rsid w:val="00432683"/>
    <w:rsid w:val="00461804"/>
    <w:rsid w:val="00466810"/>
    <w:rsid w:val="004816B5"/>
    <w:rsid w:val="004820F1"/>
    <w:rsid w:val="00483DD2"/>
    <w:rsid w:val="004865BC"/>
    <w:rsid w:val="00494E6F"/>
    <w:rsid w:val="004A1B4D"/>
    <w:rsid w:val="004A58DD"/>
    <w:rsid w:val="004A6119"/>
    <w:rsid w:val="004B47DC"/>
    <w:rsid w:val="004C7046"/>
    <w:rsid w:val="004D63C1"/>
    <w:rsid w:val="004E75B3"/>
    <w:rsid w:val="004F04BA"/>
    <w:rsid w:val="004F0AE5"/>
    <w:rsid w:val="004F0EFF"/>
    <w:rsid w:val="004F1C6A"/>
    <w:rsid w:val="004F47D1"/>
    <w:rsid w:val="004F73F7"/>
    <w:rsid w:val="0050093F"/>
    <w:rsid w:val="005044CD"/>
    <w:rsid w:val="00507439"/>
    <w:rsid w:val="00507FC2"/>
    <w:rsid w:val="00514788"/>
    <w:rsid w:val="005151C4"/>
    <w:rsid w:val="0053260E"/>
    <w:rsid w:val="0054371B"/>
    <w:rsid w:val="0056615E"/>
    <w:rsid w:val="005666F2"/>
    <w:rsid w:val="00591418"/>
    <w:rsid w:val="005B2DDF"/>
    <w:rsid w:val="005B4AE7"/>
    <w:rsid w:val="005B53B0"/>
    <w:rsid w:val="005B7183"/>
    <w:rsid w:val="005C16D8"/>
    <w:rsid w:val="005D1026"/>
    <w:rsid w:val="005D4207"/>
    <w:rsid w:val="005D45B3"/>
    <w:rsid w:val="005E3CE5"/>
    <w:rsid w:val="005F048F"/>
    <w:rsid w:val="005F6005"/>
    <w:rsid w:val="005F7B47"/>
    <w:rsid w:val="006064AB"/>
    <w:rsid w:val="0061197F"/>
    <w:rsid w:val="006220DC"/>
    <w:rsid w:val="00622BB5"/>
    <w:rsid w:val="0064618E"/>
    <w:rsid w:val="00655345"/>
    <w:rsid w:val="006610D7"/>
    <w:rsid w:val="00672536"/>
    <w:rsid w:val="006800C3"/>
    <w:rsid w:val="00681EDC"/>
    <w:rsid w:val="0068649F"/>
    <w:rsid w:val="00687189"/>
    <w:rsid w:val="00697CCC"/>
    <w:rsid w:val="006B13B7"/>
    <w:rsid w:val="006B2942"/>
    <w:rsid w:val="006B3956"/>
    <w:rsid w:val="006B3994"/>
    <w:rsid w:val="006C0E45"/>
    <w:rsid w:val="006D4829"/>
    <w:rsid w:val="006E5CFF"/>
    <w:rsid w:val="006F3B38"/>
    <w:rsid w:val="00712FFB"/>
    <w:rsid w:val="007137A4"/>
    <w:rsid w:val="00724927"/>
    <w:rsid w:val="00740C0A"/>
    <w:rsid w:val="0074778B"/>
    <w:rsid w:val="007643AB"/>
    <w:rsid w:val="0077225E"/>
    <w:rsid w:val="00793F48"/>
    <w:rsid w:val="007A13EF"/>
    <w:rsid w:val="007B35B2"/>
    <w:rsid w:val="007D1FFF"/>
    <w:rsid w:val="007D42A0"/>
    <w:rsid w:val="007D6E3C"/>
    <w:rsid w:val="007E685C"/>
    <w:rsid w:val="007E7ED1"/>
    <w:rsid w:val="007F6108"/>
    <w:rsid w:val="007F7097"/>
    <w:rsid w:val="008067A6"/>
    <w:rsid w:val="008140CC"/>
    <w:rsid w:val="0081493A"/>
    <w:rsid w:val="008251B3"/>
    <w:rsid w:val="00836F9C"/>
    <w:rsid w:val="00844F1D"/>
    <w:rsid w:val="0084749F"/>
    <w:rsid w:val="0086026B"/>
    <w:rsid w:val="00864202"/>
    <w:rsid w:val="00883E4F"/>
    <w:rsid w:val="00896407"/>
    <w:rsid w:val="008A6FFF"/>
    <w:rsid w:val="008B5443"/>
    <w:rsid w:val="008C7EEB"/>
    <w:rsid w:val="008D0DEF"/>
    <w:rsid w:val="008D2256"/>
    <w:rsid w:val="008D5E3D"/>
    <w:rsid w:val="0090737A"/>
    <w:rsid w:val="009167AB"/>
    <w:rsid w:val="00934648"/>
    <w:rsid w:val="00957FBB"/>
    <w:rsid w:val="0096108C"/>
    <w:rsid w:val="00963BA0"/>
    <w:rsid w:val="009649A0"/>
    <w:rsid w:val="00967764"/>
    <w:rsid w:val="009810EE"/>
    <w:rsid w:val="00984CC9"/>
    <w:rsid w:val="00990E51"/>
    <w:rsid w:val="0099233F"/>
    <w:rsid w:val="009A1FC8"/>
    <w:rsid w:val="009A52DF"/>
    <w:rsid w:val="009B54A0"/>
    <w:rsid w:val="009B5E51"/>
    <w:rsid w:val="009C6405"/>
    <w:rsid w:val="009D2A02"/>
    <w:rsid w:val="009F24BC"/>
    <w:rsid w:val="009F6B2C"/>
    <w:rsid w:val="009F7BAB"/>
    <w:rsid w:val="00A30799"/>
    <w:rsid w:val="00A3550E"/>
    <w:rsid w:val="00A42A90"/>
    <w:rsid w:val="00A57FE8"/>
    <w:rsid w:val="00A64ECE"/>
    <w:rsid w:val="00A66185"/>
    <w:rsid w:val="00A71CAD"/>
    <w:rsid w:val="00A731A2"/>
    <w:rsid w:val="00A73FBD"/>
    <w:rsid w:val="00A827B0"/>
    <w:rsid w:val="00A827C1"/>
    <w:rsid w:val="00A83CB0"/>
    <w:rsid w:val="00A93F40"/>
    <w:rsid w:val="00A96F93"/>
    <w:rsid w:val="00AC4993"/>
    <w:rsid w:val="00AD39DA"/>
    <w:rsid w:val="00AE5772"/>
    <w:rsid w:val="00AF22AD"/>
    <w:rsid w:val="00AF4F76"/>
    <w:rsid w:val="00AF5107"/>
    <w:rsid w:val="00B06264"/>
    <w:rsid w:val="00B07C8F"/>
    <w:rsid w:val="00B275D4"/>
    <w:rsid w:val="00B7103B"/>
    <w:rsid w:val="00B7427A"/>
    <w:rsid w:val="00B75051"/>
    <w:rsid w:val="00B859DE"/>
    <w:rsid w:val="00B9628B"/>
    <w:rsid w:val="00BC1881"/>
    <w:rsid w:val="00BD0E59"/>
    <w:rsid w:val="00BD4D1B"/>
    <w:rsid w:val="00BD650D"/>
    <w:rsid w:val="00BE3444"/>
    <w:rsid w:val="00BE7986"/>
    <w:rsid w:val="00BF1909"/>
    <w:rsid w:val="00C03331"/>
    <w:rsid w:val="00C12D2F"/>
    <w:rsid w:val="00C277A8"/>
    <w:rsid w:val="00C309AE"/>
    <w:rsid w:val="00C30C4A"/>
    <w:rsid w:val="00C365CE"/>
    <w:rsid w:val="00C417EB"/>
    <w:rsid w:val="00C528AE"/>
    <w:rsid w:val="00CE45B0"/>
    <w:rsid w:val="00CF3954"/>
    <w:rsid w:val="00D0014D"/>
    <w:rsid w:val="00D210AF"/>
    <w:rsid w:val="00D22819"/>
    <w:rsid w:val="00D2436A"/>
    <w:rsid w:val="00D3688A"/>
    <w:rsid w:val="00D44010"/>
    <w:rsid w:val="00D511F0"/>
    <w:rsid w:val="00D53232"/>
    <w:rsid w:val="00D54EE5"/>
    <w:rsid w:val="00D636D7"/>
    <w:rsid w:val="00D63F82"/>
    <w:rsid w:val="00D640FC"/>
    <w:rsid w:val="00D67A4A"/>
    <w:rsid w:val="00D70CE7"/>
    <w:rsid w:val="00D70F7D"/>
    <w:rsid w:val="00D73D5C"/>
    <w:rsid w:val="00D760AA"/>
    <w:rsid w:val="00D92929"/>
    <w:rsid w:val="00D93C2E"/>
    <w:rsid w:val="00D970A5"/>
    <w:rsid w:val="00DA0C46"/>
    <w:rsid w:val="00DB4967"/>
    <w:rsid w:val="00DC22CF"/>
    <w:rsid w:val="00DE3440"/>
    <w:rsid w:val="00DE50CB"/>
    <w:rsid w:val="00DF492A"/>
    <w:rsid w:val="00E07907"/>
    <w:rsid w:val="00E206AE"/>
    <w:rsid w:val="00E23397"/>
    <w:rsid w:val="00E32CD7"/>
    <w:rsid w:val="00E44EE1"/>
    <w:rsid w:val="00E5241D"/>
    <w:rsid w:val="00E5680C"/>
    <w:rsid w:val="00E61A16"/>
    <w:rsid w:val="00E66F26"/>
    <w:rsid w:val="00E70268"/>
    <w:rsid w:val="00E76267"/>
    <w:rsid w:val="00EA535B"/>
    <w:rsid w:val="00EC579D"/>
    <w:rsid w:val="00ED5BDC"/>
    <w:rsid w:val="00ED77F6"/>
    <w:rsid w:val="00ED7DAC"/>
    <w:rsid w:val="00EE024D"/>
    <w:rsid w:val="00F067A6"/>
    <w:rsid w:val="00F20B25"/>
    <w:rsid w:val="00F212F3"/>
    <w:rsid w:val="00F65B9C"/>
    <w:rsid w:val="00F70C03"/>
    <w:rsid w:val="00F9084A"/>
    <w:rsid w:val="00FA3C88"/>
    <w:rsid w:val="00FB5DF4"/>
    <w:rsid w:val="00FB6E40"/>
    <w:rsid w:val="00FD1CCB"/>
    <w:rsid w:val="00FE7BE0"/>
    <w:rsid w:val="00F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D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paragraph" w:styleId="Header">
    <w:name w:val="header"/>
    <w:basedOn w:val="Normal"/>
    <w:link w:val="HeaderChar"/>
    <w:uiPriority w:val="99"/>
    <w:unhideWhenUsed/>
    <w:rsid w:val="009F6B2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F6B2C"/>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0A3E2" w:themeColor="hyperlink"/>
      <w:u w:val="single"/>
    </w:rPr>
  </w:style>
  <w:style w:type="paragraph" w:styleId="Footer">
    <w:name w:val="footer"/>
    <w:basedOn w:val="Normal"/>
    <w:link w:val="FooterChar"/>
    <w:uiPriority w:val="99"/>
    <w:unhideWhenUsed/>
    <w:qFormat/>
    <w:rsid w:val="009F6B2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F6B2C"/>
  </w:style>
  <w:style w:type="paragraph" w:styleId="ListNumber">
    <w:name w:val="List Number"/>
    <w:basedOn w:val="BodyText"/>
    <w:semiHidden/>
    <w:rsid w:val="001E5ECF"/>
    <w:pPr>
      <w:numPr>
        <w:numId w:val="15"/>
      </w:numPr>
    </w:p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Figuretitle">
    <w:name w:val="Table/Figure title"/>
    <w:basedOn w:val="Heading3"/>
    <w:next w:val="Normal"/>
    <w:rsid w:val="00197518"/>
    <w:pPr>
      <w:spacing w:line="240" w:lineRule="auto"/>
      <w:jc w:val="center"/>
    </w:pPr>
    <w:rPr>
      <w:rFonts w:eastAsia="Times New Roman"/>
      <w:iCs/>
      <w:sz w:val="22"/>
      <w:szCs w:val="28"/>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H1">
    <w:name w:val="Table H1"/>
    <w:basedOn w:val="BodyText"/>
    <w:next w:val="Normal"/>
    <w:link w:val="TableH1Char"/>
    <w:uiPriority w:val="3"/>
    <w:qFormat/>
    <w:rsid w:val="009F6B2C"/>
    <w:pPr>
      <w:spacing w:line="240" w:lineRule="auto"/>
      <w:jc w:val="center"/>
    </w:pPr>
    <w:rPr>
      <w:b/>
      <w:lang w:bidi="ar-SA"/>
    </w:rPr>
  </w:style>
  <w:style w:type="character" w:customStyle="1" w:styleId="TableH1Char">
    <w:name w:val="Table H1 Char"/>
    <w:basedOn w:val="DefaultParagraphFont"/>
    <w:link w:val="TableH1"/>
    <w:uiPriority w:val="3"/>
    <w:rsid w:val="009F6B2C"/>
    <w:rPr>
      <w:rFonts w:asciiTheme="minorHAnsi" w:hAnsiTheme="minorHAnsi"/>
      <w:b/>
      <w:lang w:bidi="ar-SA"/>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
    <w:name w:val="Table Grid11"/>
    <w:basedOn w:val="TableNormal"/>
    <w:uiPriority w:val="59"/>
    <w:locked/>
    <w:rsid w:val="00BE3444"/>
    <w:pPr>
      <w:spacing w:line="240" w:lineRule="auto"/>
    </w:pPr>
    <w:rPr>
      <w:lang w:bidi="ar-SA"/>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Default">
    <w:name w:val="Default"/>
    <w:rsid w:val="00427C73"/>
    <w:pPr>
      <w:autoSpaceDE w:val="0"/>
      <w:autoSpaceDN w:val="0"/>
      <w:adjustRightInd w:val="0"/>
      <w:spacing w:before="0" w:line="240" w:lineRule="auto"/>
    </w:pPr>
    <w:rPr>
      <w:rFonts w:cs="Calibri"/>
      <w:color w:val="000000"/>
      <w:sz w:val="24"/>
      <w:szCs w:val="24"/>
      <w:lang w:bidi="ar-SA"/>
    </w:rPr>
  </w:style>
  <w:style w:type="paragraph" w:styleId="ListParagraph">
    <w:name w:val="List Paragraph"/>
    <w:basedOn w:val="Normal"/>
    <w:rsid w:val="00A3550E"/>
    <w:pPr>
      <w:ind w:left="720"/>
      <w:contextualSpacing/>
    </w:pPr>
  </w:style>
  <w:style w:type="character" w:styleId="CommentReference">
    <w:name w:val="annotation reference"/>
    <w:basedOn w:val="DefaultParagraphFont"/>
    <w:semiHidden/>
    <w:unhideWhenUsed/>
    <w:rsid w:val="00A3550E"/>
    <w:rPr>
      <w:sz w:val="16"/>
      <w:szCs w:val="16"/>
    </w:rPr>
  </w:style>
  <w:style w:type="paragraph" w:styleId="CommentText">
    <w:name w:val="annotation text"/>
    <w:basedOn w:val="Normal"/>
    <w:link w:val="CommentTextChar"/>
    <w:semiHidden/>
    <w:unhideWhenUsed/>
    <w:rsid w:val="00A3550E"/>
    <w:pPr>
      <w:spacing w:line="240" w:lineRule="auto"/>
    </w:pPr>
    <w:rPr>
      <w:sz w:val="20"/>
      <w:szCs w:val="20"/>
    </w:rPr>
  </w:style>
  <w:style w:type="character" w:customStyle="1" w:styleId="CommentTextChar">
    <w:name w:val="Comment Text Char"/>
    <w:basedOn w:val="DefaultParagraphFont"/>
    <w:link w:val="CommentText"/>
    <w:semiHidden/>
    <w:rsid w:val="00A3550E"/>
    <w:rPr>
      <w:sz w:val="20"/>
      <w:szCs w:val="20"/>
    </w:rPr>
  </w:style>
  <w:style w:type="paragraph" w:styleId="CommentSubject">
    <w:name w:val="annotation subject"/>
    <w:basedOn w:val="CommentText"/>
    <w:next w:val="CommentText"/>
    <w:link w:val="CommentSubjectChar"/>
    <w:semiHidden/>
    <w:unhideWhenUsed/>
    <w:rsid w:val="00A3550E"/>
    <w:rPr>
      <w:b/>
      <w:bCs/>
    </w:rPr>
  </w:style>
  <w:style w:type="character" w:customStyle="1" w:styleId="CommentSubjectChar">
    <w:name w:val="Comment Subject Char"/>
    <w:basedOn w:val="CommentTextChar"/>
    <w:link w:val="CommentSubject"/>
    <w:semiHidden/>
    <w:rsid w:val="00A3550E"/>
    <w:rPr>
      <w:b/>
      <w:bCs/>
      <w:sz w:val="20"/>
      <w:szCs w:val="20"/>
    </w:rPr>
  </w:style>
  <w:style w:type="character" w:styleId="UnresolvedMention">
    <w:name w:val="Unresolved Mention"/>
    <w:basedOn w:val="DefaultParagraphFont"/>
    <w:uiPriority w:val="99"/>
    <w:semiHidden/>
    <w:unhideWhenUsed/>
    <w:rsid w:val="009B5E51"/>
    <w:rPr>
      <w:color w:val="605E5C"/>
      <w:shd w:val="clear" w:color="auto" w:fill="E1DFDD"/>
    </w:rPr>
  </w:style>
  <w:style w:type="paragraph" w:styleId="Caption">
    <w:name w:val="caption"/>
    <w:basedOn w:val="Normal"/>
    <w:next w:val="Normal"/>
    <w:unhideWhenUsed/>
    <w:qFormat/>
    <w:rsid w:val="00B9628B"/>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458378616">
      <w:bodyDiv w:val="1"/>
      <w:marLeft w:val="0"/>
      <w:marRight w:val="0"/>
      <w:marTop w:val="0"/>
      <w:marBottom w:val="0"/>
      <w:divBdr>
        <w:top w:val="none" w:sz="0" w:space="0" w:color="auto"/>
        <w:left w:val="none" w:sz="0" w:space="0" w:color="auto"/>
        <w:bottom w:val="none" w:sz="0" w:space="0" w:color="auto"/>
        <w:right w:val="none" w:sz="0" w:space="0" w:color="auto"/>
      </w:divBdr>
    </w:div>
    <w:div w:id="56106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sr.state.mn.us/board-meeting-information"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bwsr.state.mn.us/grantsquarterly"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A647B-29A5-46FA-A7BA-B47332BE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General Use Template (Blue Header)</vt:lpstr>
    </vt:vector>
  </TitlesOfParts>
  <Manager/>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Use Template (Blue Header)</dc:title>
  <dc:subject>Template</dc:subject>
  <dc:creator/>
  <cp:keywords>template, general</cp:keywords>
  <cp:lastModifiedBy/>
  <cp:revision>1</cp:revision>
  <dcterms:created xsi:type="dcterms:W3CDTF">2021-03-16T00:32:00Z</dcterms:created>
  <dcterms:modified xsi:type="dcterms:W3CDTF">2021-03-16T00:32:00Z</dcterms:modified>
  <cp:category>template</cp:category>
  <cp:contentStatus>active</cp:contentStatus>
</cp:coreProperties>
</file>